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2016/170 vom 29. November 2017</w:t>
      </w:r>
    </w:p>
    <w:p>
      <w:r>
        <w:t>Sg Versicherungsgericht, 2017-11-29, DE</w:t>
      </w:r>
    </w:p>
    <w:p>
      <w:r>
        <w:rPr>
          <w:b/>
        </w:rPr>
        <w:t xml:space="preserve">Quelle: </w:t>
      </w:r>
      <w:r>
        <w:t>https://mcp.opencaselaw.ch/entscheid/sg_publikationen_IV 2016_170</w:t>
      </w:r>
    </w:p>
    <w:p>
      <w:r>
        <w:t>FR: SG_VERSICHERUNGSGERICHT IV 2016/170 du 29 novembre 2017</w:t>
      </w:r>
    </w:p>
    <w:p>
      <w:r>
        <w:t>IT: SG_VERSICHERUNGSGERICHT IV 2016/170 del 29 novembre 2017</w:t>
      </w:r>
    </w:p>
    <w:p>
      <w:pPr>
        <w:pStyle w:val="Heading2"/>
      </w:pPr>
      <w:r>
        <w:t>Regeste</w:t>
      </w:r>
    </w:p>
    <w:p>
      <w:r>
        <w:t>Art. 28 IVG, Art. 16 ATSG. Rentenanspruch. Bestimmung der Vergleichseinkommen. Verwertbarkeit der Restarbeitsfähigkeit. Tabellenlohnabzug von 25% für funktionelle Einarmigkeit. Gutheissung (Entscheid des Versicherungsgerichts des Kantons St. Gallen vom 29. November 2017, IV 2016/170).</w:t>
      </w:r>
    </w:p>
    <w:p>
      <w:pPr>
        <w:pStyle w:val="Heading2"/>
      </w:pPr>
      <w:r>
        <w:t>Erwägungen</w:t>
      </w:r>
    </w:p>
    <w:p>
      <w:r>
        <w:rPr>
          <w:b/>
        </w:rPr>
        <w:t>E. 1</w:t>
      </w:r>
    </w:p>
    <w:p>
      <w:r>
        <w:t>1.1  Zwischen den Parteien umstritten und nachfolgend zu prüfen ist im vorliegenden Fall der Rentenanspruch des Beschwerdeführers gegenüber der Invalidenversicherung.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1.3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w:t>
      </w:r>
    </w:p>
    <w:p>
      <w:r>
        <w:rPr>
          <w:b/>
        </w:rPr>
        <w:t>E. 2</w:t>
      </w:r>
    </w:p>
    <w:p>
      <w:r>
        <w:t>2.1  In medizinischer Hinsicht ist erstellt und blieb beschwerdeweise unbestritten, dass der Beschwerdeführer aufgrund einer funktionellen Einarmigkeit in der angestammten Tätigkeit nicht mehr arbeitsfähig ist und in einer angepassten leichten Tätigkeit über eine 80%ige Arbeitsfähigkeit verfügt (vgl. die gutachterlichen Beurteilungen von Dr. B.___ vom 25. März 2015 bzw. 7. September 2016, IV-act. 155 und 196, sowie die RAD-Stellungnahme vom 15. März 2015, IV-act. 197). 2.2  Es ergeben sich vorliegend keine Anhaltspunkte, die Zweifel an der einhelligen medizinischen Aktenlage zu begründen vermögen. Soweit der Beschwerdeführer aufgrund des eingeschränkten Rendements eine höhergradige Arbeitsunfähigkeit (von 30%) geltend machen will (vgl. act. G 1 S. 6), ist festzuhalten, dass die verschiedenen Einschränkungen, welche mit der funktionellen Einarmigkeit und dem im September 2015 neu diagnostizierten lumboradikulären Reizsyndrom L5/S1 rechts einhergehen, im Belastungs- bzw. Zumutbarkeitsprofil einer vorwiegend sitzenden Kontrolltätigkeit mit vermehrtem Pausenbedarf hinreichend berücksichtigt wurden (vgl. IV-act. 196-5). Es besteht kein Anlass, von der überzeugenden Arbeitsfähigkeitsschätzung, gemäss welcher der Beschwerdeführer in einer seiner Einschränkung angepassten Tätigkeit gerechnet auf ein volles Pensum zu 80% arbeits- bzw. leistungsfähig ist, abzuweichen. Was die vom Beschwerdeführer geltend gemachten lohnwirksamen Nachteile der eingeschränkten Leistungsfähigkeit betrifft, so wird diesen im Rahmen eines allfälligen Tabellenlohnabzugs Rechnung zu tragen sein (vgl. nachstehend E. 3.5).</w:t>
      </w:r>
    </w:p>
    <w:p>
      <w:r>
        <w:rPr>
          <w:b/>
        </w:rPr>
        <w:t>E. 3</w:t>
      </w:r>
    </w:p>
    <w:p>
      <w:r>
        <w:t>3.1  Ausgehend von einer 80%igen Arbeitsfähigkeit in angepassten leichten, wechselbelastenden Tätigkeiten ist der Invaliditätsgrad zu ermitteln. Zwischen den Parteien sind dabei die Höhe der Vergleichseinkommen sowie die Höhe des Tabellenlohnabzugs streitig. 3.2  Der Grad der für einen allfälligen Rentenanspruch gegenüber der Invalidenversicherung massgebenden Invalidität wird gemäss Art. 28a Abs. 1 IVG i.V.m. Art. 16 ATSG durch einen Einkommensvergleich ermittelt. Dabei wird das Einkommen, das die versicherte Person nach Eintritt der Invalidität und nach Durchführung der notwendigen und zumutbaren Eingliederungsmassnahmen bei ausgeglichener Arbeitsmarktlage erzielen könnte (zumutbares Invalideneinkommen), in Beziehung gesetzt zum Einkommen, das die versicherte Person erzielen könnte, wenn sie nicht invalid geworden wäre (Valideneinkommen). 3.3  Bei der Festlegung des Valideneinkommens ist entscheidend, was die versicherte Person im Zeitpunkt des frühestmöglichen Rentenbeginns nach dem Beweisgrad der überwiegenden Wahrscheinlichkeit als Gesunde tatsächlich verdient hätte. Nach der bundesgerichtlichen Rechtsprechung sind auch berufliche Entwicklungs- oder Aufstiegsmöglichkeiten im Gesundheitsfall zu berücksichtigen, sofern sie mit überwiegender Wahrscheinlichkeit eingetreten wären (vgl. Urteil des Bundesgerichts vom 28. April 2015, 8C_612/2014, E. 4.2.2.1 mit Hinweisen). 3.3.1  Die Beschwerdegegnerin stützte sich bei der Festlegung des Valideneinkommens auf die Tabellenlöhne der LSE 2012 und erachtete dabei einen Hilfsarbeiterlohn als angemessen (vgl. IV-act. 199, 204, act. G 4 S. 4). Der Beschwerdeführer machte demgegenüber geltend, es sei entsprechend der Invaliditätsbemessung der Suva im Zusammenhang mit dem Rentenanspruch gegenüber der Unfallversicherung am zuletzt erzielten Verdienst anzuknüpfen. Da er vor dem Unfallereignis beabsichtigt habe, sich mittelfristig in der Schweiz selbständig zu machen, habe er vorerst Temporärstellen angenommen, um sich mit den unterschiedlichen Vorschriften vertraut zu machen (act. G 1 S. 8, G 6). 3.3.2  Der Beschwerdeführer hatte im Jahr 1999 eine Aus- und Weiterbildung als Installateur- und Heizungsbauer mit Meistertitel abgeschlossen und war in den Jahren 2000 bis 2007 als selbständig erwerbender Heizungs-, Lüftungs- und Sanitär¬installateur tätig gewesen (vgl. IV-act. 3, 90-4, 90-31). Im März 2008 war er in die Schweiz eingereist und bis zum Unfallereignis im Dezember 2009 im Rahmen von Temporärstellen im Stundenlohn als Heizungsmonteur tätig gewesen (vgl. IV-act. 5 ff., 22, 24). Zuletzt hatte er im September und Oktober 2009 bei der C.___ AG und im November und Dezember 2009 bei der D.___ AG gearbeitet und dabei einen durchschnittlichen Stundenlohn von rund Fr. 34.00 (inkl. Ferienentschädigung und 13. Monatslohn) erzielt (IV-act. 22-2, 24-2 f.). Im Auszug aus dem individuellen Konto ist für das Jahr 2008 ein Einkommen von insgesamt Fr. 23‘911.00 und im Jahr 2009 ein Einkommen von insgesamt Fr. 41‘704.00 vermerkt (IV-act. 21). Die Suva errechnete ihrerseits gestützt auf den zuletzt erzielten Stundenlohn ein Valideneinkommen von Fr. 71‘302.40 (Fr. 34.28 x 2080 Jahresarbeitsstunden; Suva-act. 16-1 ff.). 3.3.3  Da die abgerechneten Verdienste aufgrund der kurzen Erwerbstätigkeit in der Schweiz, welche darüber hinaus im Rahmen von temporären Arbeitsverhältnissen im Stundenlohn ausgeübt wurde, keine hinreichend repräsentative Grundlage für die Bestimmung des Valideneinkommens bilden, ist auf die Tabellenlöhne der LSE abzustellen. Entgegen den Ausführungen der Beschwerdegegnerin ist jedoch nicht auf das Kompetenzniveau 1 (einfache Tätigkeiten körperlicher oder handwerklicher Art, sog. Hilfsarbeiten) abzustellen. Unter Berücksichtigung der beruflichen Ausbildung des Beschwerdeführers in seinem Heimatland sowie der mehrjährigen Berufserfahrung und der fachlichen Qualifikationen rechtfertigt sich vielmehr ein Abstellen auf das Kompetenzniveau 2 (praktische Tätigkeiten). Dass sich der im Jahr 19__ geborene Beschwerdeführer in Zukunft in der Schweiz selbständig gemacht hätte, ist aufgrund fehlender konkreter Nachweise - wie beispielsweise einem bereits erfolgten Eintrag ins Handelsregister - nicht überwiegend wahrscheinlich. 3.4  Im Zeitpunkt der angefochtenen Verfügung ging der Beschwerdeführer keiner Erwerbstätigkeit nach, weshalb für die Festlegung des Invalideneinkommens ebenfalls auf die Tabellenlöhne der LSE abzustellen ist (vgl. BGE 129 V 475 E. 4.2.1 mit Hinweisen). Wie vorstehend dargelegt, hat der Beschwerdeführer eine fundierte berufliche Ausbildung abgeschlossen, welche ihn – zumindest in seinem Heimatland – auch zur Ausbildung von Lehrlingen im genannten Handwerk berechtigt (vgl. IV-act. 3-3, E. 3.3.2). Entsprechend verfügt der Beschwerdeführer zwar nicht mehr über die angestammten handwerklichen Fähigkeiten, wohl aber über fachliche Kenntnisse sowie intellektuelle und sprachliche Fähigkeiten, welche deutlich über diejenigen hinausgehen, die für eine Hilfsarbeitertätigkeit erforderlich sind. Damit rechtfertigt sich entgegen den Ausführungen der Beschwerdegegnerin (vgl. E. 3.3; IV-act. 204-2, act. G 1 S. 5) auch beim Invalideneinkommen das Abstellen auf die Tabellenlöhne im Kompetenzniveau 2. 3.5  Sind Validen- und Invalideneinkommen ausgehend vom selben Tabellenlohn zu berechnen, entspricht der Invaliditätsgrad dem Grad der Arbeitsunfähigkeit unter Berücksichtigung des Abzuges vom Tabellenlohn (sog. Prozentvergleich). Zu beurteilen bleibt somit die Frage nach der Höhe des Tabellenlohnabzugs. 3.5.1  Der Beschwerdeführer stellt sich auf den Standpunkt, es sei schwer vorstellbar, dass es für ihn auf dem ausgeglichenen Arbeitsmarkt genügend Stellen gebe (act. G 1 S. 6 und G 6 S. 2). Soweit er damit eine (teilweise) Unverwertbarkeit seiner Restarbeitsfähigkeit geltend macht, ist festzuhalten, dass sich durch seine funktionelle Einarmigkeit unbestrittenermassen das Spektrum der ihm offen stehenden Möglichkeiten auf dem für die Invalidenversicherung relevanten, hypothetischen ausgeglichenen Arbeitsmarkt vermindert. Jedoch sind an die Konkretisierung von Arbeitsgelegenheiten und Verdienstaussichten praxisgemäss nicht übermässige Anforderungen zu stellen (vgl. statt vieler: Urteil des Bundesgerichtes vom 18. Februar 2009, 9C_941/2008, E. 3.5). Dementsprechend ist grundsätzlich davon auszugehen, dass der ausgeglichene Arbeitsmarkt auch für funktionell Einarmige ein hinreichend grosses Angebot an realistischen Betätigungsmöglichkeiten bietet (Urteil des Bundesgerichts vom 9. März 2015, 9C_842/2014, E. 3.2 mit Hinweisen). Die Tatsache, dass die Suva dem Beschwerdeführer keine Arbeitsplätze gemäss ihrer Dokumentation von Arbeitsstellen (DAP) zuweisen konnte (vgl. act. G 1 S. 5), ist entgegen dessen Ansicht somit nicht weiter von Belang. 3.5.2  Allerdings geht mit einer faktischen Einhändigkeit, wie sie beim Beschwerdeführer zweifellos gegeben ist, rechtsprechungsgemäss eine erheblich erschwerte Verwertbarkeit der Arbeitsfähigkeit einher. Damit ist, wie die Beschwerdegegnerin inzwischen in der Beschwerdeantwort anerkannt hat (vgl. act. G 4 S. 4), ein Tabellenlohnabzug gerechtfertigt. Mit Blick auf die Rechtsprechung des Bundesgerichts erscheint dabei ein Tabellenlohnabzug von 25% als angemessen (vgl. Urteil des Bundesgerichts vom 17. September 2008, 9C_418/2008, E. 3.3.2 mit Hinweisen zur Rechtsprechung). Sofern der Beschwerdeführer aufgrund des eingeschränkten Rendements einen höheren Abzug geltend machen will, ist darauf hinzuweisen, dass diesem bereits in der Arbeitsfähigkeitsschätzung hinreichend Rechnung getragen wurde (vgl. dazu vorstehend E. 2) und ein Abzug von mehr als 25% nach ständiger Praxis des Bundesgerichtes darüber hinaus unzulässig ist (vgl. BGE 126 V 78 E. 5b/cc, BGE 129 V 483, E. 4.3). 3.6  Demnach resultieren ein Invaliditätsgrad von 40% (100% - [80% x 0.75]) und damit ein Anspruch auf eine Viertelsrente. In Nachachtung von Art. 29 Abs. 1 IVG entsteht der Rentenanspruch aufgrund der am 15. November 2010 eingereichten Anmeldung (IV-act. 1) am 1. Mai 2011.</w:t>
      </w:r>
    </w:p>
    <w:p>
      <w:r>
        <w:rPr>
          <w:b/>
        </w:rPr>
        <w:t>E. 4</w:t>
      </w:r>
    </w:p>
    <w:p>
      <w:r>
        <w:t>4.1  In Gutheissung der Beschwerde ist die angefochtene Verfügung vom 11. Mai 2016 aufzuheben und dem Beschwerdeführer mit Wirkung ab 1. Mai 2011 eine Viertelsrente zuzusprechen. Zur Festsetzung und Ausrichtung der Rentenleistung ist die Sache an die Beschwerdegegnerin zurückzuweisen. 4.2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Der vom Beschwerdeführer geleistete Kostenvorschuss von Fr. 600.-- ist ihm zurückzuerstatten. 4.3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In der vorliegenden Streitsache erscheint mit Blick auf die eingeschränkte Streitfrage eine Parteientschädigung von pauschal Fr. 3'000.-- (einschliesslich Barauslagen und Mehrwertsteuer) angemessen. Entscheid im Zirkulationsverfahren gemäss Art. 39 VRP 1. In Gutheissung der Beschwerde wird die Verfügung vom 11. Mai 2016 aufgehoben und dem Beschwerdeführer mit Wirkung ab 1. Mai 2011 eine Viertelsrente zugesprochen. Zur Festsetzung und Ausrichtung der Rentenleistung wird die Sache an die Beschwerdegegnerin zurückgewiesen. 2. Die Beschwerdegegnerin hat eine Gerichtsgebühr von Fr. 600.00 zu bezahlen. Der vom Beschwerdeführer geleistete Kostenvorschuss von Fr. 600.00 wird diesem zurückerstattet.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